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19050</wp:posOffset>
                </wp:positionV>
                <wp:extent cx="2657475" cy="1061720"/>
                <wp:effectExtent l="7620" t="9525" r="11430" b="508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3929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48"/>
                              <w:gridCol w:w="238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48" w:type="dxa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批准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29" w:type="dxa"/>
                                  <w:gridSpan w:val="2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第2版生效日期：2015年3月1日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29" w:type="dxa"/>
                                  <w:gridSpan w:val="2"/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文件编号：HL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F.A-003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48.85pt;margin-top:1.5pt;height:83.6pt;width:209.25pt;z-index:251661312;mso-width-relative:page;mso-height-relative:page;" fillcolor="#FFFFFF" filled="t" stroked="t" coordsize="21600,21600" o:gfxdata="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q2+RPZAAAACQEAAA8AAAAAAAAAAQAgAAAAIgAAAGRycy9kb3ducmV2LnhtbFBL&#10;AQIUABQAAAAIAIdO4kAJcV6LLgIAAIcEAAAOAAAAAAAAAAEAIAAAACgBAABkcnMvZTJvRG9jLnht&#10;bFBLBQYAAAAABgAGAFkBAADIBQAAAAA=&#10;">
                <v:fill on="t" focussize="0,0"/>
                <v:stroke color="#FFFFFF" miterlimit="2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3929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48"/>
                        <w:gridCol w:w="238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48" w:type="dxa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批准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29" w:type="dxa"/>
                            <w:gridSpan w:val="2"/>
                          </w:tcPr>
                          <w:p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第2版生效日期：2015年3月1日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29" w:type="dxa"/>
                            <w:gridSpan w:val="2"/>
                          </w:tcPr>
                          <w:p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文件编号：HL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F.A-003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spacing w:line="400" w:lineRule="atLeast"/>
        <w:jc w:val="center"/>
        <w:rPr>
          <w:rFonts w:ascii="宋体" w:hAnsi="宋体"/>
          <w:b/>
          <w:sz w:val="28"/>
        </w:rPr>
      </w:pPr>
    </w:p>
    <w:p>
      <w:pPr>
        <w:spacing w:line="400" w:lineRule="atLeast"/>
        <w:jc w:val="center"/>
        <w:rPr>
          <w:rFonts w:ascii="宋体" w:hAnsi="宋体"/>
          <w:b/>
          <w:sz w:val="28"/>
        </w:rPr>
      </w:pPr>
    </w:p>
    <w:p>
      <w:pPr>
        <w:spacing w:line="400" w:lineRule="atLeast"/>
        <w:jc w:val="center"/>
        <w:rPr>
          <w:rFonts w:ascii="宋体" w:hAnsi="宋体"/>
          <w:b/>
          <w:sz w:val="28"/>
        </w:rPr>
      </w:pPr>
    </w:p>
    <w:p>
      <w:pPr>
        <w:spacing w:line="400" w:lineRule="atLeast"/>
        <w:jc w:val="center"/>
        <w:rPr>
          <w:rFonts w:ascii="宋体" w:hAnsi="宋体"/>
          <w:b/>
          <w:sz w:val="28"/>
        </w:rPr>
      </w:pP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物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资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管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理</w:t>
      </w:r>
    </w:p>
    <w:p>
      <w:pPr>
        <w:spacing w:line="400" w:lineRule="atLeast"/>
        <w:jc w:val="center"/>
        <w:rPr>
          <w:rFonts w:ascii="MS Mincho" w:hAnsi="MS Mincho" w:eastAsia="GB P Mincho"/>
          <w:b/>
          <w:color w:val="000000"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制</w:t>
      </w:r>
    </w:p>
    <w:p>
      <w:pPr>
        <w:spacing w:line="400" w:lineRule="atLeast"/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MS Mincho" w:hAnsi="MS Mincho" w:eastAsia="GB P Mincho"/>
          <w:b/>
          <w:color w:val="000000"/>
          <w:sz w:val="84"/>
          <w:szCs w:val="84"/>
        </w:rPr>
        <w:t>度</w:t>
      </w:r>
    </w:p>
    <w:p>
      <w:pPr>
        <w:spacing w:line="400" w:lineRule="atLeast"/>
        <w:jc w:val="center"/>
        <w:rPr>
          <w:rFonts w:ascii="宋体" w:hAnsi="宋体"/>
          <w:b/>
          <w:sz w:val="84"/>
          <w:szCs w:val="84"/>
        </w:rPr>
      </w:pPr>
    </w:p>
    <w:p>
      <w:pPr>
        <w:spacing w:line="400" w:lineRule="atLeast"/>
        <w:jc w:val="center"/>
        <w:rPr>
          <w:rFonts w:ascii="宋体" w:hAnsi="宋体"/>
          <w:b/>
          <w:sz w:val="84"/>
          <w:szCs w:val="84"/>
        </w:rPr>
      </w:pPr>
    </w:p>
    <w:p>
      <w:pPr>
        <w:ind w:left="525" w:hanging="525" w:hangingChars="250"/>
      </w:pPr>
    </w:p>
    <w:p>
      <w:pPr>
        <w:ind w:left="525" w:hanging="525" w:hangingChars="250"/>
      </w:pPr>
    </w:p>
    <w:p>
      <w:pPr>
        <w:ind w:left="525" w:hanging="525" w:hangingChars="250"/>
      </w:pPr>
    </w:p>
    <w:p>
      <w:pPr>
        <w:ind w:left="525" w:hanging="525" w:hangingChars="250"/>
      </w:pPr>
    </w:p>
    <w:p>
      <w:pPr>
        <w:numPr>
          <w:ilvl w:val="0"/>
          <w:numId w:val="1"/>
        </w:num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目的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第一条   为加强机构物资购买、管理、和使用；弘扬民族精神,爱惜公共财产,杜绝浪费；坚持物资资源使用效益最大化、物尽其用。</w:t>
      </w:r>
    </w:p>
    <w:p>
      <w:pPr>
        <w:numPr>
          <w:ilvl w:val="0"/>
          <w:numId w:val="1"/>
        </w:num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物资（品）购买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第二条   物资（品）实行计划购买、定额供应；任何物资（品）购买，必须由用物单位或部门填写购物申请表（附件16-1），由部门主管同意、总干事批准、总务安排统一购买；在购买过程中需遵循“货比三家”的原则。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第三条   凡购买的物资（品）一律严格履行入库或验货签收手续。凡未办理入库或验货签收手续的，不能发放使用，相关费用及票据不予报销。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第四条   购买的固定资产，用物部门负责人进行签领后需登记在固定资产表内；购物发票需由经办人、总务、部门主管签名及总干事审批方可送财务室报销。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第五条   日常办公、教学使用的易耗物资（品）购买后由部门仓管员验货入库，并做好仓库物资（品）一式两份的入库清单（附件16-2），确认物资（品）验货并入库；购物发票与购物清单需由经办人、仓管员、部门主管签名及总干事审批方可送财务室报销 </w:t>
      </w:r>
    </w:p>
    <w:p>
      <w:pPr>
        <w:pStyle w:val="12"/>
        <w:ind w:firstLine="0"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第三章   仓库管理</w:t>
      </w:r>
    </w:p>
    <w:p>
      <w:pPr>
        <w:pStyle w:val="12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第六条   仓库管理应把好质量关，对数量不符、质量低劣的物资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（品），应拒绝验收入库。</w:t>
      </w:r>
    </w:p>
    <w:p>
      <w:pPr>
        <w:pStyle w:val="12"/>
        <w:ind w:firstLine="700" w:firstLineChars="250"/>
        <w:rPr>
          <w:rFonts w:hint="eastAsia" w:ascii="宋体" w:hAnsi="宋体" w:cs="宋体"/>
          <w:sz w:val="28"/>
          <w:szCs w:val="28"/>
        </w:rPr>
      </w:pPr>
    </w:p>
    <w:p>
      <w:pPr>
        <w:pStyle w:val="12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第七条   建立物资（品）入库、出库明细账，了解仓库库存物资（品），避免库存物资（品）过期。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第八条   物资（品）仓储明晰有条理，随时能将库存物资（品）提供给部门主管，避免物资（品）重复购买和过期浪费。</w:t>
      </w:r>
    </w:p>
    <w:p>
      <w:pPr>
        <w:pStyle w:val="12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第九条   分部门或班级建立物资（品）签领档案，用于物资（品）去向查询。</w:t>
      </w:r>
    </w:p>
    <w:p>
      <w:pPr>
        <w:pStyle w:val="12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第十条   仓管除按常规发放的低值易耗品物资（品）外，未经主管领导批准的任何物资（品）不得随意发放。</w:t>
      </w:r>
    </w:p>
    <w:p>
      <w:pPr>
        <w:pStyle w:val="12"/>
        <w:ind w:firstLine="0"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第四章  固定资产的使用与管理</w:t>
      </w:r>
    </w:p>
    <w:p>
      <w:pPr>
        <w:pStyle w:val="12"/>
        <w:ind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第十一条   固定资产由总务员或仓管员办理入库登记手续后，用物部门方可签领使用。</w:t>
      </w:r>
    </w:p>
    <w:p>
      <w:pPr>
        <w:pStyle w:val="12"/>
        <w:ind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第十二条   使用人要落实保护措施，使用好、管理好、维护好，不得损坏、流失，要严格执行“谁损坏谁丢失，谁赔偿”的原则。</w:t>
      </w:r>
    </w:p>
    <w:p>
      <w:pPr>
        <w:pStyle w:val="12"/>
        <w:ind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第十三条   使用人要妥善保管各资产，不准私自外借、转移和调整。部门总务员要经常进行检查，维护所管资产，安排恒常的维修工作，确保资产不受损失。</w:t>
      </w:r>
    </w:p>
    <w:p>
      <w:pPr>
        <w:pStyle w:val="12"/>
        <w:ind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第十四条   使用人在调出单位前，应将使用和借用机构的一切物品如数交还机构，到部门总务处办理固定资产交接手续。凡不履行交接手续的，不予办理离职相关手续。</w:t>
      </w:r>
    </w:p>
    <w:p>
      <w:pPr>
        <w:pStyle w:val="12"/>
        <w:ind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第十五条   总务员或仓管员调动工作、退休时需由移交人、接管人、监交人三方认真办理资产交接手续。</w:t>
      </w:r>
    </w:p>
    <w:p>
      <w:pPr>
        <w:pStyle w:val="12"/>
        <w:ind w:firstLineChars="150"/>
        <w:rPr>
          <w:rFonts w:hint="eastAsia" w:ascii="宋体" w:hAnsi="宋体" w:cs="宋体"/>
          <w:sz w:val="28"/>
          <w:szCs w:val="28"/>
        </w:rPr>
      </w:pPr>
    </w:p>
    <w:p>
      <w:pPr>
        <w:pStyle w:val="12"/>
        <w:ind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第十六条   物资（品）报废需填写物资（品）报废单（附件16-3），并由维修技术员确认可报废方可做报废处理。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第十七条   除正常报废、报损物品外，由于责任事故造成的固定资产损失，由责任人按当前市价赔偿。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第十八条   由于故意破坏而造成的公物损坏，视情节加倍赔偿；数额较大、情节恶劣的，交有关部门处理。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第十九条   各班组、活动组公共财物，一经集体配置交付各班组、活动组使用后，各班组、及活动组要加强对学员的思想教育，教育学员以机构为家，爱护公物，保管和使用好班组、活动组公共财物，对因管理失职或人为破坏造成的损失，照价赔偿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第二十条   生活辅导员、家庭辅导员有对宿舍、家庭内外公共设施及学员纪律、安全管理检查责任。教育学员要遵守宿舍、家庭管理规定，爱护公物。学员宿舍公物因管理不善失职造成损失的，追究当事人责任，人为破坏造成损失的，照价赔偿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第二十一条   每年年底，总务员或仓管员需对机构所有的公物使用与管理情况进行全面检查/盘点(附件16-4)。</w:t>
      </w:r>
    </w:p>
    <w:p>
      <w:pPr>
        <w:pStyle w:val="12"/>
        <w:ind w:firstLine="281" w:firstLineChars="10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第五章   公物检查与维护维修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第二十二条   各部门定期组织本部门资产设备的检查，发现问题马上进行维护和维修；设有专职维修工的机构由相关物品保管责任人填写维修申请表（附件16-5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给维修员，维修员应尽快安排维修。</w:t>
      </w:r>
    </w:p>
    <w:p>
      <w:pPr>
        <w:pStyle w:val="12"/>
        <w:ind w:firstLine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第二十三条   总务员要经常对所辖固定资产使用与管理状况进行检</w:t>
      </w:r>
    </w:p>
    <w:p>
      <w:pPr>
        <w:pStyle w:val="12"/>
        <w:ind w:firstLine="560"/>
        <w:rPr>
          <w:rFonts w:hint="eastAsia" w:ascii="宋体" w:hAnsi="宋体" w:cs="宋体"/>
          <w:sz w:val="28"/>
          <w:szCs w:val="28"/>
        </w:rPr>
      </w:pPr>
    </w:p>
    <w:p>
      <w:pPr>
        <w:pStyle w:val="12"/>
        <w:ind w:left="0" w:leftChars="0"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查，定期向主管上报固定资产的使用与管理情况。</w:t>
      </w:r>
    </w:p>
    <w:p>
      <w:pPr>
        <w:pStyle w:val="12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第二十四条   各部门及各班组建立物品正常使用破损报废登记记录，及时做好固定资产变更登记。</w:t>
      </w:r>
    </w:p>
    <w:p>
      <w:pPr>
        <w:pStyle w:val="12"/>
        <w:ind w:firstLine="0"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第六章   其他</w:t>
      </w:r>
    </w:p>
    <w:p>
      <w:pPr>
        <w:pStyle w:val="12"/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第二十五条   各部门及各活动组固定资产若因工作需要产生转移,需填写固定资产转移表(附件16-6).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5419090</wp:posOffset>
              </wp:positionH>
              <wp:positionV relativeFrom="paragraph">
                <wp:posOffset>180975</wp:posOffset>
              </wp:positionV>
              <wp:extent cx="57785" cy="131445"/>
              <wp:effectExtent l="0" t="0" r="18415" b="190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26.7pt;margin-top:14.25pt;height:10.35pt;width:4.55pt;mso-position-horizontal-relative:margin;mso-wrap-style:none;z-index:251661312;mso-width-relative:page;mso-height-relative:page;" filled="f" stroked="f" coordsize="21600,21600" o:gfxdata="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saotdYAAAAJAQAADwAAAAAAAAABACAAAAAiAAAAZHJzL2Rvd25yZXYueG1s&#10;UEsBAhQAFAAAAAgAh07iQE2aL/v6AQAAAAQAAA4AAAAAAAAAAQAgAAAAJQ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  <w:ind w:right="360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sz w:val="21"/>
        <w:szCs w:val="24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5447665</wp:posOffset>
              </wp:positionH>
              <wp:positionV relativeFrom="paragraph">
                <wp:posOffset>228600</wp:posOffset>
              </wp:positionV>
              <wp:extent cx="57785" cy="131445"/>
              <wp:effectExtent l="0" t="0" r="18415" b="1905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left:428.95pt;margin-top:18pt;height:10.35pt;width:4.55pt;mso-position-horizontal-relative:margin;mso-wrap-style:none;z-index:251660288;mso-width-relative:page;mso-height-relative:page;" filled="f" stroked="f" coordsize="21600,21600" o:gfxdata="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WzkzdYAAAAJAQAADwAAAAAAAAABACAAAAAiAAAA&#10;ZHJzL2Rvd25yZXYueG1sUEsBAhQAFAAAAAgAh07iQFzfPZ4JAgAAAAQAAA4AAAAAAAAAAQAgAAAA&#10;J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----------------------------------------------------------------------------------------------------------------------------------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rPr>
        <w:rFonts w:hint="eastAsia"/>
      </w:rPr>
      <w:t>-----------------</w:t>
    </w:r>
    <w:r>
      <w:rPr>
        <w:rFonts w:hint="eastAsia"/>
        <w:lang w:eastAsia="zh-CN"/>
      </w:rPr>
      <w:t>使命</w:t>
    </w:r>
    <w:r>
      <w:rPr>
        <w:rFonts w:hint="eastAsia"/>
      </w:rPr>
      <w:t>：推广社区化服务模式，提高智障人士生活品质</w:t>
    </w:r>
  </w:p>
  <w:p>
    <w:pPr>
      <w:pStyle w:val="5"/>
    </w:pPr>
    <w:r>
      <w:rPr>
        <w:rFonts w:hint="eastAsia"/>
        <w:lang w:eastAsia="zh-CN"/>
      </w:rPr>
      <w:t>愿</w:t>
    </w:r>
    <w:r>
      <w:rPr>
        <w:rFonts w:hint="eastAsia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/>
      <w:rPr>
        <w:rFonts w:hint="eastAsia" w:eastAsia="宋体"/>
        <w:i/>
        <w:sz w:val="24"/>
        <w:lang w:eastAsia="zh-CN"/>
      </w:rPr>
    </w:pPr>
    <w:r>
      <w:rPr>
        <w:rFonts w:ascii="Arial Black" w:hAnsi="Arial Black"/>
        <w:sz w:val="24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311785</wp:posOffset>
          </wp:positionV>
          <wp:extent cx="746125" cy="744855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sz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323850</wp:posOffset>
              </wp:positionV>
              <wp:extent cx="5715000" cy="635"/>
              <wp:effectExtent l="9525" t="9525" r="9525" b="889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pt;margin-top:25.5pt;height:0.05pt;width:450pt;z-index:251659264;mso-width-relative:page;mso-height-relative:page;" filled="f" stroked="t" coordsize="21600,21600" o:gfxdata="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XwW0PTAAAABgEAAA8AAAAAAAAAAQAgAAAAIgAAAGRycy9kb3du&#10;cmV2LnhtbFBLAQIUABQAAAAIAIdO4kCLkElkywEAAKEDAAAOAAAAAAAAAAEAIAAAACIBAABkcnMv&#10;ZTJvRG9jLnhtbFBLBQYAAAAABgAGAFkBAABf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eastAsia="宋体"/>
        <w:i/>
        <w:sz w:val="24"/>
        <w:lang w:eastAsia="zh-CN"/>
      </w:rPr>
      <w:t xml:space="preserve">     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eastAsia="宋体"/>
        <w:lang w:eastAsia="zh-CN"/>
      </w:rPr>
    </w:pPr>
    <w:r>
      <w:rPr>
        <w:rFonts w:eastAsia="宋体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506095</wp:posOffset>
          </wp:positionH>
          <wp:positionV relativeFrom="page">
            <wp:posOffset>276225</wp:posOffset>
          </wp:positionV>
          <wp:extent cx="746125" cy="744855"/>
          <wp:effectExtent l="0" t="0" r="0" b="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t xml:space="preserve">        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AD1DA9"/>
    <w:multiLevelType w:val="multilevel"/>
    <w:tmpl w:val="42AD1DA9"/>
    <w:lvl w:ilvl="0" w:tentative="0">
      <w:start w:val="1"/>
      <w:numFmt w:val="japaneseCounting"/>
      <w:lvlText w:val="第%1章"/>
      <w:lvlJc w:val="left"/>
      <w:pPr>
        <w:ind w:left="2387" w:hanging="1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87" w:hanging="420"/>
      </w:pPr>
    </w:lvl>
    <w:lvl w:ilvl="2" w:tentative="0">
      <w:start w:val="1"/>
      <w:numFmt w:val="lowerRoman"/>
      <w:lvlText w:val="%3."/>
      <w:lvlJc w:val="right"/>
      <w:pPr>
        <w:ind w:left="2207" w:hanging="420"/>
      </w:pPr>
    </w:lvl>
    <w:lvl w:ilvl="3" w:tentative="0">
      <w:start w:val="1"/>
      <w:numFmt w:val="decimal"/>
      <w:lvlText w:val="%4."/>
      <w:lvlJc w:val="left"/>
      <w:pPr>
        <w:ind w:left="2627" w:hanging="420"/>
      </w:pPr>
    </w:lvl>
    <w:lvl w:ilvl="4" w:tentative="0">
      <w:start w:val="1"/>
      <w:numFmt w:val="lowerLetter"/>
      <w:lvlText w:val="%5)"/>
      <w:lvlJc w:val="left"/>
      <w:pPr>
        <w:ind w:left="3047" w:hanging="420"/>
      </w:pPr>
    </w:lvl>
    <w:lvl w:ilvl="5" w:tentative="0">
      <w:start w:val="1"/>
      <w:numFmt w:val="lowerRoman"/>
      <w:lvlText w:val="%6."/>
      <w:lvlJc w:val="right"/>
      <w:pPr>
        <w:ind w:left="3467" w:hanging="420"/>
      </w:pPr>
    </w:lvl>
    <w:lvl w:ilvl="6" w:tentative="0">
      <w:start w:val="1"/>
      <w:numFmt w:val="decimal"/>
      <w:lvlText w:val="%7."/>
      <w:lvlJc w:val="left"/>
      <w:pPr>
        <w:ind w:left="3887" w:hanging="420"/>
      </w:pPr>
    </w:lvl>
    <w:lvl w:ilvl="7" w:tentative="0">
      <w:start w:val="1"/>
      <w:numFmt w:val="lowerLetter"/>
      <w:lvlText w:val="%8)"/>
      <w:lvlJc w:val="left"/>
      <w:pPr>
        <w:ind w:left="4307" w:hanging="420"/>
      </w:pPr>
    </w:lvl>
    <w:lvl w:ilvl="8" w:tentative="0">
      <w:start w:val="1"/>
      <w:numFmt w:val="lowerRoman"/>
      <w:lvlText w:val="%9."/>
      <w:lvlJc w:val="right"/>
      <w:pPr>
        <w:ind w:left="47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DI5MGJkYjJmZjQ4YmRlMTA3Nzc4OWYxOTJkZDAifQ=="/>
  </w:docVars>
  <w:rsids>
    <w:rsidRoot w:val="009341A0"/>
    <w:rsid w:val="00033EA9"/>
    <w:rsid w:val="001449D1"/>
    <w:rsid w:val="0025338A"/>
    <w:rsid w:val="0026187D"/>
    <w:rsid w:val="002B3D3A"/>
    <w:rsid w:val="002F1296"/>
    <w:rsid w:val="00397B3F"/>
    <w:rsid w:val="003F678F"/>
    <w:rsid w:val="00454CD4"/>
    <w:rsid w:val="00481503"/>
    <w:rsid w:val="00491BEF"/>
    <w:rsid w:val="00502374"/>
    <w:rsid w:val="00546F4E"/>
    <w:rsid w:val="00563E30"/>
    <w:rsid w:val="005920A3"/>
    <w:rsid w:val="005D63A6"/>
    <w:rsid w:val="006634F8"/>
    <w:rsid w:val="006E3892"/>
    <w:rsid w:val="007055C2"/>
    <w:rsid w:val="007374FA"/>
    <w:rsid w:val="00864563"/>
    <w:rsid w:val="008E659C"/>
    <w:rsid w:val="00912EA8"/>
    <w:rsid w:val="009173A5"/>
    <w:rsid w:val="009341A0"/>
    <w:rsid w:val="00977EBE"/>
    <w:rsid w:val="00A34BC9"/>
    <w:rsid w:val="00AE44D3"/>
    <w:rsid w:val="00B50428"/>
    <w:rsid w:val="00B772E3"/>
    <w:rsid w:val="00BC44A0"/>
    <w:rsid w:val="00BE413B"/>
    <w:rsid w:val="00C43700"/>
    <w:rsid w:val="00CC2248"/>
    <w:rsid w:val="00CC6B77"/>
    <w:rsid w:val="00D16298"/>
    <w:rsid w:val="00D2616A"/>
    <w:rsid w:val="00D610D7"/>
    <w:rsid w:val="00D83851"/>
    <w:rsid w:val="00DE4E2C"/>
    <w:rsid w:val="00E242DF"/>
    <w:rsid w:val="00E3507C"/>
    <w:rsid w:val="00E510FF"/>
    <w:rsid w:val="00EA243B"/>
    <w:rsid w:val="00EE382E"/>
    <w:rsid w:val="28C8466F"/>
    <w:rsid w:val="41F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rPr>
      <w:sz w:val="24"/>
      <w:szCs w:val="20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napToGrid w:val="0"/>
    </w:pPr>
    <w:rPr>
      <w:rFonts w:ascii="Century" w:hAnsi="Century" w:eastAsia="MS Mincho"/>
      <w:lang w:eastAsia="ja-JP"/>
    </w:rPr>
  </w:style>
  <w:style w:type="paragraph" w:styleId="7">
    <w:name w:val="Body Text Indent 3"/>
    <w:basedOn w:val="1"/>
    <w:link w:val="14"/>
    <w:uiPriority w:val="0"/>
    <w:pPr>
      <w:ind w:left="2" w:firstLine="478" w:firstLineChars="199"/>
    </w:pPr>
    <w:rPr>
      <w:rFonts w:ascii="Century" w:hAnsi="Century" w:eastAsia="GB P Mincho"/>
      <w:sz w:val="24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uiPriority w:val="0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MTDisplayEquation"/>
    <w:basedOn w:val="7"/>
    <w:next w:val="1"/>
    <w:link w:val="15"/>
    <w:uiPriority w:val="0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/>
      <w:sz w:val="28"/>
      <w:szCs w:val="28"/>
    </w:rPr>
  </w:style>
  <w:style w:type="character" w:customStyle="1" w:styleId="14">
    <w:name w:val="正文文本缩进 3 Char"/>
    <w:link w:val="7"/>
    <w:uiPriority w:val="0"/>
    <w:rPr>
      <w:rFonts w:ascii="Century" w:hAnsi="Century" w:eastAsia="GB P Mincho"/>
      <w:kern w:val="2"/>
      <w:sz w:val="24"/>
      <w:szCs w:val="24"/>
    </w:rPr>
  </w:style>
  <w:style w:type="character" w:customStyle="1" w:styleId="15">
    <w:name w:val="MTDisplayEquation Char"/>
    <w:link w:val="13"/>
    <w:uiPriority w:val="0"/>
    <w:rPr>
      <w:rFonts w:ascii="仿宋_GB2312" w:hAnsi="宋体" w:eastAsia="仿宋_GB2312"/>
      <w:kern w:val="2"/>
      <w:sz w:val="28"/>
      <w:szCs w:val="28"/>
    </w:rPr>
  </w:style>
  <w:style w:type="character" w:customStyle="1" w:styleId="16">
    <w:name w:val="日期 Char"/>
    <w:link w:val="2"/>
    <w:uiPriority w:val="0"/>
    <w:rPr>
      <w:kern w:val="2"/>
      <w:sz w:val="24"/>
    </w:rPr>
  </w:style>
  <w:style w:type="character" w:customStyle="1" w:styleId="17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515A6-3462-45B6-A63E-CFAFF00D0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1559</Words>
  <Characters>1580</Characters>
  <Lines>12</Lines>
  <Paragraphs>3</Paragraphs>
  <TotalTime>330</TotalTime>
  <ScaleCrop>false</ScaleCrop>
  <LinksUpToDate>false</LinksUpToDate>
  <CharactersWithSpaces>1676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2015-01-05T02:55:00Z</dcterms:created>
  <dc:creator>微软用户</dc:creator>
  <cp:lastModifiedBy>admin</cp:lastModifiedBy>
  <cp:lastPrinted>2014-03-12T02:24:00Z</cp:lastPrinted>
  <dcterms:modified xsi:type="dcterms:W3CDTF">2022-11-21T07:42:59Z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2AD70BED20B04B229C1ADEA8D60E0364</vt:lpwstr>
  </property>
</Properties>
</file>